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C15" w:rsidRPr="00702C15" w:rsidRDefault="00D17C23" w:rsidP="00D17C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</w:t>
      </w:r>
      <w:bookmarkStart w:id="0" w:name="_GoBack"/>
      <w:bookmarkEnd w:id="0"/>
      <w:r w:rsidR="00702C15" w:rsidRPr="00702C15">
        <w:rPr>
          <w:rFonts w:ascii="Times New Roman" w:eastAsia="Times New Roman" w:hAnsi="Times New Roman"/>
          <w:sz w:val="28"/>
          <w:szCs w:val="28"/>
        </w:rPr>
        <w:t>Додаток 12</w:t>
      </w:r>
    </w:p>
    <w:p w:rsidR="00702C15" w:rsidRPr="00702C15" w:rsidRDefault="00702C15" w:rsidP="00702C1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702C15">
        <w:rPr>
          <w:rFonts w:ascii="Times New Roman" w:hAnsi="Times New Roman"/>
          <w:sz w:val="28"/>
          <w:szCs w:val="28"/>
        </w:rPr>
        <w:t>до Порядку здійснення фармаконагляду</w:t>
      </w:r>
    </w:p>
    <w:p w:rsidR="00702C15" w:rsidRPr="00702C15" w:rsidRDefault="00702C15" w:rsidP="00702C15">
      <w:pPr>
        <w:ind w:left="480"/>
        <w:jc w:val="right"/>
        <w:rPr>
          <w:rFonts w:ascii="Times New Roman" w:eastAsia="Times New Roman" w:hAnsi="Times New Roman"/>
          <w:sz w:val="28"/>
          <w:szCs w:val="28"/>
        </w:rPr>
      </w:pPr>
    </w:p>
    <w:p w:rsidR="00B954BB" w:rsidRPr="00B954BB" w:rsidRDefault="00B954BB" w:rsidP="00B954BB">
      <w:pPr>
        <w:widowControl w:val="0"/>
        <w:autoSpaceDE w:val="0"/>
        <w:jc w:val="center"/>
        <w:rPr>
          <w:rFonts w:ascii="Times New Roman" w:hAnsi="Times New Roman"/>
          <w:b/>
          <w:sz w:val="28"/>
          <w:szCs w:val="28"/>
        </w:rPr>
      </w:pPr>
      <w:r w:rsidRPr="00B954BB">
        <w:rPr>
          <w:rFonts w:ascii="Times New Roman" w:hAnsi="Times New Roman"/>
          <w:b/>
          <w:sz w:val="28"/>
          <w:szCs w:val="28"/>
        </w:rPr>
        <w:t>ПОЛОЖЕННЯ ПРО РЕГІОНАЛЬНІ ТА ЦЕНТРАЛЬНУ ГРУПИ ОПЕРАТИВНОГО РЕАГУВАННЯ</w:t>
      </w:r>
    </w:p>
    <w:p w:rsidR="001C1143" w:rsidRPr="001C1143" w:rsidRDefault="00B954BB" w:rsidP="001C1143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C1143">
        <w:rPr>
          <w:rFonts w:ascii="Times New Roman" w:hAnsi="Times New Roman"/>
          <w:sz w:val="28"/>
          <w:szCs w:val="28"/>
        </w:rPr>
        <w:t>Це Положення визначає порядок створення, склад, завдання регіональних та центральної груп оперативного реагування на НППІ (далі – група оперативного реагування).</w:t>
      </w:r>
    </w:p>
    <w:p w:rsidR="00B954BB" w:rsidRDefault="00B954BB" w:rsidP="001C1143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C1143">
        <w:rPr>
          <w:rFonts w:ascii="Times New Roman" w:hAnsi="Times New Roman"/>
          <w:sz w:val="28"/>
          <w:szCs w:val="28"/>
        </w:rPr>
        <w:t xml:space="preserve"> Регіональна група оперативного реагування створюється при структурних підрозділах охорони здоров’я Міністерства охорони здоров’я Автономної Республіки Крим, обласних, Київської та Севастопольської міських державних адміністрацій.</w:t>
      </w:r>
    </w:p>
    <w:p w:rsidR="00B954BB" w:rsidRDefault="00B954BB" w:rsidP="001C1143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C1143">
        <w:rPr>
          <w:rFonts w:ascii="Times New Roman" w:hAnsi="Times New Roman"/>
          <w:sz w:val="28"/>
          <w:szCs w:val="28"/>
        </w:rPr>
        <w:t>Центральна група оперативного реагування створюється при МОЗ України.</w:t>
      </w:r>
    </w:p>
    <w:p w:rsidR="00EF5090" w:rsidRDefault="00B954BB" w:rsidP="001C1143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C1143">
        <w:rPr>
          <w:rFonts w:ascii="Times New Roman" w:hAnsi="Times New Roman"/>
          <w:sz w:val="28"/>
          <w:szCs w:val="28"/>
        </w:rPr>
        <w:t>Групу оперативного реагування очолює голова, який має спеціальність лікар-педіатр або лікар-терапевт.</w:t>
      </w:r>
    </w:p>
    <w:p w:rsidR="00B954BB" w:rsidRDefault="00B954BB" w:rsidP="00EF5090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C1143">
        <w:rPr>
          <w:rFonts w:ascii="Times New Roman" w:hAnsi="Times New Roman"/>
          <w:sz w:val="28"/>
          <w:szCs w:val="28"/>
        </w:rPr>
        <w:t xml:space="preserve"> </w:t>
      </w:r>
      <w:r w:rsidRPr="00EF5090">
        <w:rPr>
          <w:rFonts w:ascii="Times New Roman" w:hAnsi="Times New Roman"/>
          <w:sz w:val="28"/>
          <w:szCs w:val="28"/>
        </w:rPr>
        <w:t>Група оперативного реагування залучається до дій головою групи оперативного реагування.</w:t>
      </w:r>
    </w:p>
    <w:p w:rsidR="00B954BB" w:rsidRDefault="00B954BB" w:rsidP="00EF5090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>Група оперативного реагування у своїй діяльності керується цим Положенням та іншими чинними нормативно-правовими актами у сфері охорони здоров’я.</w:t>
      </w:r>
    </w:p>
    <w:p w:rsidR="00B954BB" w:rsidRDefault="00B954BB" w:rsidP="00EF5090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>Склад регіональної групи оперативного реагування затверджується наказом структурних підрозділів охорони здоров’я Міністерства охорони здоров’я Автономної Республіки Крим, обласних, Київської та Севастопольської міських державних адміністрацій, центральної – наказом МОЗ України.</w:t>
      </w:r>
    </w:p>
    <w:p w:rsidR="00EF5090" w:rsidRPr="00EF5090" w:rsidRDefault="00EF5090" w:rsidP="00EF509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>До груп оперативного реагування входять фахівці за спеціальністю: невролог (дитячий невролог), інфекціоніст (дитячий інфекціоніст), алерголог (дитячий алерголог), імунолог (дитячий імунолог), анестезіолог (дитячий анестезіолог), епідеміолог, педіатр/терапевт (в залежності від спеціальності голови групи), судово-медичний експерт, патологоанатом.</w:t>
      </w:r>
    </w:p>
    <w:p w:rsidR="00B954BB" w:rsidRDefault="00B954BB" w:rsidP="00EF5090">
      <w:pPr>
        <w:pStyle w:val="a8"/>
        <w:widowControl w:val="0"/>
        <w:numPr>
          <w:ilvl w:val="0"/>
          <w:numId w:val="2"/>
        </w:numPr>
        <w:autoSpaceDE w:val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>Регіональна група оперативного реагування:</w:t>
      </w:r>
    </w:p>
    <w:p w:rsidR="00EF5090" w:rsidRPr="00B954BB" w:rsidRDefault="00EF5090" w:rsidP="00EF5090">
      <w:pPr>
        <w:pStyle w:val="a7"/>
        <w:spacing w:before="120"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о</w:t>
      </w:r>
      <w:r w:rsidRPr="00B954BB">
        <w:rPr>
          <w:sz w:val="28"/>
          <w:szCs w:val="28"/>
          <w:lang w:eastAsia="en-US"/>
        </w:rPr>
        <w:t>тримує карти-повідомлення про усі випадки НППІ, що сталися у регіоні</w:t>
      </w:r>
      <w:r>
        <w:rPr>
          <w:sz w:val="28"/>
          <w:szCs w:val="28"/>
          <w:lang w:eastAsia="en-US"/>
        </w:rPr>
        <w:t>;</w:t>
      </w:r>
      <w:r w:rsidRPr="00B954BB">
        <w:rPr>
          <w:sz w:val="28"/>
          <w:szCs w:val="28"/>
          <w:lang w:eastAsia="en-US"/>
        </w:rPr>
        <w:t xml:space="preserve"> </w:t>
      </w:r>
    </w:p>
    <w:p w:rsidR="00EF5090" w:rsidRPr="00B954BB" w:rsidRDefault="00EF5090" w:rsidP="00EF5090">
      <w:pPr>
        <w:pStyle w:val="a7"/>
        <w:spacing w:before="120"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з</w:t>
      </w:r>
      <w:r w:rsidRPr="00B954BB">
        <w:rPr>
          <w:sz w:val="28"/>
          <w:szCs w:val="28"/>
          <w:lang w:eastAsia="en-US"/>
        </w:rPr>
        <w:t>дійснює аналіз карт</w:t>
      </w:r>
      <w:r>
        <w:rPr>
          <w:sz w:val="28"/>
          <w:szCs w:val="28"/>
          <w:lang w:eastAsia="en-US"/>
        </w:rPr>
        <w:t>-</w:t>
      </w:r>
      <w:r w:rsidRPr="00B954BB">
        <w:rPr>
          <w:sz w:val="28"/>
          <w:szCs w:val="28"/>
          <w:lang w:eastAsia="en-US"/>
        </w:rPr>
        <w:t>повідомлень про усі випадки НППІ, що сталися у регіоні,</w:t>
      </w:r>
      <w:r>
        <w:rPr>
          <w:sz w:val="28"/>
          <w:szCs w:val="28"/>
          <w:lang w:eastAsia="en-US"/>
        </w:rPr>
        <w:t xml:space="preserve"> на предмет серйозності;</w:t>
      </w:r>
    </w:p>
    <w:p w:rsidR="00EF5090" w:rsidRDefault="00EF5090" w:rsidP="00EF5090">
      <w:pPr>
        <w:pStyle w:val="a7"/>
        <w:spacing w:before="120"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3) </w:t>
      </w:r>
      <w:r w:rsidRPr="00B954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</w:t>
      </w:r>
      <w:r w:rsidRPr="00B954BB">
        <w:rPr>
          <w:sz w:val="28"/>
          <w:szCs w:val="28"/>
          <w:lang w:eastAsia="en-US"/>
        </w:rPr>
        <w:t>аправляє усі отримані карти</w:t>
      </w:r>
      <w:r>
        <w:rPr>
          <w:sz w:val="28"/>
          <w:szCs w:val="28"/>
          <w:lang w:eastAsia="en-US"/>
        </w:rPr>
        <w:t>-повідомлення до Центру;</w:t>
      </w:r>
    </w:p>
    <w:p w:rsidR="00EF5090" w:rsidRPr="00B954BB" w:rsidRDefault="00EF5090" w:rsidP="00EF5090">
      <w:pPr>
        <w:pStyle w:val="a7"/>
        <w:spacing w:before="120"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 w:rsidRPr="00B954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</w:t>
      </w:r>
      <w:r w:rsidRPr="00B954BB">
        <w:rPr>
          <w:sz w:val="28"/>
          <w:szCs w:val="28"/>
          <w:lang w:eastAsia="en-US"/>
        </w:rPr>
        <w:t>роводить розслідування усіх серйозних та групових НППІ та встановлює причинно-наслідковий зв</w:t>
      </w:r>
      <w:r>
        <w:rPr>
          <w:sz w:val="28"/>
          <w:szCs w:val="28"/>
          <w:lang w:eastAsia="en-US"/>
        </w:rPr>
        <w:t>’</w:t>
      </w:r>
      <w:r w:rsidRPr="00B954BB">
        <w:rPr>
          <w:sz w:val="28"/>
          <w:szCs w:val="28"/>
          <w:lang w:eastAsia="en-US"/>
        </w:rPr>
        <w:t>язок між Н</w:t>
      </w:r>
      <w:r>
        <w:rPr>
          <w:sz w:val="28"/>
          <w:szCs w:val="28"/>
          <w:lang w:eastAsia="en-US"/>
        </w:rPr>
        <w:t xml:space="preserve">ППІ та </w:t>
      </w:r>
      <w:r w:rsidRPr="00B954BB">
        <w:rPr>
          <w:sz w:val="28"/>
          <w:szCs w:val="28"/>
          <w:lang w:eastAsia="en-US"/>
        </w:rPr>
        <w:t>вакциною, туберкуліном</w:t>
      </w:r>
      <w:r>
        <w:rPr>
          <w:sz w:val="28"/>
          <w:szCs w:val="28"/>
          <w:lang w:eastAsia="en-US"/>
        </w:rPr>
        <w:t>;</w:t>
      </w:r>
    </w:p>
    <w:p w:rsidR="00EF5090" w:rsidRPr="00B954BB" w:rsidRDefault="00EF5090" w:rsidP="00EF5090">
      <w:pPr>
        <w:pStyle w:val="a7"/>
        <w:spacing w:before="120"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5)</w:t>
      </w:r>
      <w:r w:rsidRPr="00B954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з</w:t>
      </w:r>
      <w:r w:rsidRPr="00B954BB">
        <w:rPr>
          <w:sz w:val="28"/>
          <w:szCs w:val="28"/>
          <w:lang w:eastAsia="en-US"/>
        </w:rPr>
        <w:t>а результатами розслідування заповнює протокол розслідування та встановлення причинно-наслідкового зв</w:t>
      </w:r>
      <w:r>
        <w:rPr>
          <w:sz w:val="28"/>
          <w:szCs w:val="28"/>
          <w:lang w:eastAsia="en-US"/>
        </w:rPr>
        <w:t>’</w:t>
      </w:r>
      <w:r w:rsidRPr="00B954BB">
        <w:rPr>
          <w:sz w:val="28"/>
          <w:szCs w:val="28"/>
          <w:lang w:eastAsia="en-US"/>
        </w:rPr>
        <w:t>язку серйозних та групових НППІ та надає його до Центру разом із копією відповідної карти</w:t>
      </w:r>
      <w:r>
        <w:rPr>
          <w:sz w:val="28"/>
          <w:szCs w:val="28"/>
          <w:lang w:eastAsia="en-US"/>
        </w:rPr>
        <w:t>-</w:t>
      </w:r>
      <w:r w:rsidRPr="00B954BB">
        <w:rPr>
          <w:sz w:val="28"/>
          <w:szCs w:val="28"/>
          <w:lang w:eastAsia="en-US"/>
        </w:rPr>
        <w:t>повідомлення</w:t>
      </w:r>
      <w:r>
        <w:rPr>
          <w:sz w:val="28"/>
          <w:szCs w:val="28"/>
          <w:lang w:eastAsia="en-US"/>
        </w:rPr>
        <w:t>;</w:t>
      </w:r>
    </w:p>
    <w:p w:rsidR="00EF5090" w:rsidRDefault="00EF5090" w:rsidP="00EF5090">
      <w:pPr>
        <w:pStyle w:val="a7"/>
        <w:spacing w:before="120" w:after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6)</w:t>
      </w:r>
      <w:r w:rsidRPr="00B954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</w:t>
      </w:r>
      <w:r w:rsidRPr="00B954BB">
        <w:rPr>
          <w:sz w:val="28"/>
          <w:szCs w:val="28"/>
          <w:lang w:eastAsia="en-US"/>
        </w:rPr>
        <w:t>олова регіональної групи оперативн</w:t>
      </w:r>
      <w:r>
        <w:rPr>
          <w:sz w:val="28"/>
          <w:szCs w:val="28"/>
          <w:lang w:eastAsia="en-US"/>
        </w:rPr>
        <w:t>ого реагування надає копії карт-</w:t>
      </w:r>
      <w:r w:rsidRPr="00B954BB">
        <w:rPr>
          <w:sz w:val="28"/>
          <w:szCs w:val="28"/>
          <w:lang w:eastAsia="en-US"/>
        </w:rPr>
        <w:t xml:space="preserve">повідомлень головному штатному/позаштатному спеціалісту структурного підрозділу </w:t>
      </w:r>
      <w:r>
        <w:rPr>
          <w:sz w:val="28"/>
          <w:szCs w:val="28"/>
        </w:rPr>
        <w:t>охорони здоров’я Міністерства охорони здоров</w:t>
      </w:r>
      <w:r w:rsidRPr="0010559F">
        <w:rPr>
          <w:sz w:val="28"/>
          <w:szCs w:val="28"/>
        </w:rPr>
        <w:t>’</w:t>
      </w:r>
      <w:r>
        <w:rPr>
          <w:sz w:val="28"/>
          <w:szCs w:val="28"/>
        </w:rPr>
        <w:t>я Автономної Республіки</w:t>
      </w:r>
      <w:r w:rsidRPr="00C0074B">
        <w:rPr>
          <w:sz w:val="28"/>
          <w:szCs w:val="28"/>
        </w:rPr>
        <w:t xml:space="preserve"> Крим</w:t>
      </w:r>
      <w:r>
        <w:rPr>
          <w:sz w:val="28"/>
          <w:szCs w:val="28"/>
        </w:rPr>
        <w:t xml:space="preserve">, </w:t>
      </w:r>
      <w:r w:rsidRPr="00C0074B">
        <w:rPr>
          <w:sz w:val="28"/>
          <w:szCs w:val="28"/>
        </w:rPr>
        <w:t>обласних, Київської та Севастопольської міських державних адміністрацій</w:t>
      </w:r>
      <w:r>
        <w:rPr>
          <w:sz w:val="28"/>
          <w:szCs w:val="28"/>
        </w:rPr>
        <w:t xml:space="preserve"> </w:t>
      </w:r>
      <w:r w:rsidRPr="00B954BB">
        <w:rPr>
          <w:sz w:val="28"/>
          <w:szCs w:val="28"/>
          <w:lang w:eastAsia="en-US"/>
        </w:rPr>
        <w:t>за спеціальністю «терапія».</w:t>
      </w:r>
    </w:p>
    <w:p w:rsidR="00EF5090" w:rsidRPr="00EF5090" w:rsidRDefault="00EF5090" w:rsidP="00EF5090">
      <w:pPr>
        <w:pStyle w:val="a8"/>
        <w:numPr>
          <w:ilvl w:val="0"/>
          <w:numId w:val="2"/>
        </w:numPr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>Центральна група оперативного реагування надає рекомендації щодо прийняття відповідних рішень у разі отримання від Центру копій карт-повідомлень і протоколу розслідування та встановлення причинно-наслідкового зв’язку між серйозним, груповим НППІ та вакциною, туберкуліном, що надійшли :</w:t>
      </w:r>
    </w:p>
    <w:p w:rsidR="00EF5090" w:rsidRPr="00EF5090" w:rsidRDefault="00EF5090" w:rsidP="00EF5090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 xml:space="preserve">1) з 2-х або більше регіонів з аналогічними клінічними проявами НППІ, що виникли після застосування серії/серій за умови встановлення причинно-наслідкового зв’язку регіональними групами оперативного реагування; </w:t>
      </w:r>
    </w:p>
    <w:p w:rsidR="00EF5090" w:rsidRPr="00EF5090" w:rsidRDefault="00EF5090" w:rsidP="00EF509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EF5090">
        <w:rPr>
          <w:rFonts w:ascii="Times New Roman" w:hAnsi="Times New Roman"/>
          <w:sz w:val="28"/>
          <w:szCs w:val="28"/>
        </w:rPr>
        <w:t>2) карти(т)-повідомлення(нь) про летальний(ні) НППІ та групові НППІ, зареєстрованого за умови наявності причинно-наслідкового зв’язку та не класифікованого причинно-наслідкового зв’язку між серйозним, груповим НППІ та вакциною, туберкуліном, що надійшли у разі летального випадку, що зареєстрований протягом 30 діб після імунізації.</w:t>
      </w:r>
    </w:p>
    <w:p w:rsidR="00B954BB" w:rsidRPr="00EF5090" w:rsidRDefault="00B954BB" w:rsidP="00EF5090">
      <w:pPr>
        <w:pStyle w:val="a7"/>
        <w:numPr>
          <w:ilvl w:val="0"/>
          <w:numId w:val="2"/>
        </w:numPr>
        <w:spacing w:before="120" w:after="0"/>
        <w:ind w:left="0" w:firstLine="708"/>
        <w:jc w:val="both"/>
        <w:rPr>
          <w:sz w:val="28"/>
          <w:szCs w:val="28"/>
          <w:lang w:eastAsia="en-US"/>
        </w:rPr>
      </w:pPr>
      <w:r w:rsidRPr="00EF5090">
        <w:rPr>
          <w:sz w:val="28"/>
          <w:szCs w:val="28"/>
        </w:rPr>
        <w:t>Центральна група оперативного реагування, у разі необхідності, надає консультативну допомогу у разі інших проблем, виявлених при застосуванні вакцин, туберкуліну, які пов</w:t>
      </w:r>
      <w:r w:rsidR="00B063E3" w:rsidRPr="00EF5090">
        <w:rPr>
          <w:sz w:val="28"/>
          <w:szCs w:val="28"/>
        </w:rPr>
        <w:t>’</w:t>
      </w:r>
      <w:r w:rsidRPr="00EF5090">
        <w:rPr>
          <w:sz w:val="28"/>
          <w:szCs w:val="28"/>
        </w:rPr>
        <w:t>язані з безпекою та ефективністю.</w:t>
      </w:r>
    </w:p>
    <w:p w:rsidR="00EA7334" w:rsidRPr="00702C15" w:rsidRDefault="00EA7334" w:rsidP="00B954BB">
      <w:pPr>
        <w:spacing w:after="0"/>
        <w:ind w:left="480"/>
        <w:jc w:val="center"/>
        <w:rPr>
          <w:sz w:val="28"/>
          <w:szCs w:val="28"/>
        </w:rPr>
      </w:pPr>
    </w:p>
    <w:sectPr w:rsidR="00EA7334" w:rsidRPr="00702C15" w:rsidSect="00B954BB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7CEB" w:rsidRDefault="00767CEB" w:rsidP="00702C15">
      <w:pPr>
        <w:spacing w:after="0" w:line="240" w:lineRule="auto"/>
      </w:pPr>
      <w:r>
        <w:separator/>
      </w:r>
    </w:p>
  </w:endnote>
  <w:endnote w:type="continuationSeparator" w:id="0">
    <w:p w:rsidR="00767CEB" w:rsidRDefault="00767CEB" w:rsidP="00702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7CEB" w:rsidRDefault="00767CEB" w:rsidP="00702C15">
      <w:pPr>
        <w:spacing w:after="0" w:line="240" w:lineRule="auto"/>
      </w:pPr>
      <w:r>
        <w:separator/>
      </w:r>
    </w:p>
  </w:footnote>
  <w:footnote w:type="continuationSeparator" w:id="0">
    <w:p w:rsidR="00767CEB" w:rsidRDefault="00767CEB" w:rsidP="00702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41018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02C15" w:rsidRPr="00702C15" w:rsidRDefault="00702C15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02C15">
          <w:rPr>
            <w:rFonts w:ascii="Times New Roman" w:hAnsi="Times New Roman"/>
            <w:sz w:val="28"/>
            <w:szCs w:val="28"/>
          </w:rPr>
          <w:fldChar w:fldCharType="begin"/>
        </w:r>
        <w:r w:rsidRPr="00702C1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02C15">
          <w:rPr>
            <w:rFonts w:ascii="Times New Roman" w:hAnsi="Times New Roman"/>
            <w:sz w:val="28"/>
            <w:szCs w:val="28"/>
          </w:rPr>
          <w:fldChar w:fldCharType="separate"/>
        </w:r>
        <w:r w:rsidR="00D17C23" w:rsidRPr="00D17C23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702C1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02C15" w:rsidRPr="00B063E3" w:rsidRDefault="00B063E3" w:rsidP="00B063E3">
    <w:pPr>
      <w:pStyle w:val="a3"/>
      <w:ind w:left="637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 xml:space="preserve">     Подовження додатка 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D07A3D"/>
    <w:multiLevelType w:val="hybridMultilevel"/>
    <w:tmpl w:val="4F5273F6"/>
    <w:lvl w:ilvl="0" w:tplc="4314AE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84FE9"/>
    <w:multiLevelType w:val="hybridMultilevel"/>
    <w:tmpl w:val="30C45224"/>
    <w:lvl w:ilvl="0" w:tplc="807694C8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85"/>
    <w:rsid w:val="001C1143"/>
    <w:rsid w:val="004F6D03"/>
    <w:rsid w:val="00702C15"/>
    <w:rsid w:val="00767CEB"/>
    <w:rsid w:val="007A78F6"/>
    <w:rsid w:val="007E0C85"/>
    <w:rsid w:val="00AC64B4"/>
    <w:rsid w:val="00B063E3"/>
    <w:rsid w:val="00B954BB"/>
    <w:rsid w:val="00C02307"/>
    <w:rsid w:val="00CE6EE6"/>
    <w:rsid w:val="00D17C23"/>
    <w:rsid w:val="00D5656F"/>
    <w:rsid w:val="00EA7334"/>
    <w:rsid w:val="00E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7E0ABD-D90E-4D0B-A348-49FB6449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C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C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C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02C1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2C15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rsid w:val="00B954BB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8">
    <w:name w:val="List Paragraph"/>
    <w:basedOn w:val="a"/>
    <w:uiPriority w:val="34"/>
    <w:qFormat/>
    <w:rsid w:val="001C1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BA190-775A-4EF4-99AA-98AF6411C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408</Words>
  <Characters>3145</Characters>
  <Application>Microsoft Office Word</Application>
  <DocSecurity>0</DocSecurity>
  <Lines>64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Державний експертний центр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Доріченко Світлана Юріївна</dc:creator>
  <cp:keywords/>
  <dc:description/>
  <cp:lastModifiedBy>Доріченко Світлана Юріївна</cp:lastModifiedBy>
  <cp:revision>6</cp:revision>
  <dcterms:created xsi:type="dcterms:W3CDTF">2015-09-28T07:05:00Z</dcterms:created>
  <dcterms:modified xsi:type="dcterms:W3CDTF">2015-10-15T10:09:00Z</dcterms:modified>
</cp:coreProperties>
</file>